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B79" w:rsidRDefault="002173DD">
      <w:pPr>
        <w:pStyle w:val="Heading1"/>
        <w:keepNext w:val="0"/>
        <w:keepLines w:val="0"/>
        <w:widowControl w:val="0"/>
        <w:spacing w:before="240" w:after="240" w:line="240" w:lineRule="auto"/>
        <w:jc w:val="both"/>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THÔNG CÁO BÁO CHÍ</w:t>
      </w:r>
    </w:p>
    <w:p w:rsidR="00F13B79" w:rsidRDefault="002173DD">
      <w:pPr>
        <w:pStyle w:val="Heading2"/>
        <w:keepNext w:val="0"/>
        <w:keepLines w:val="0"/>
        <w:widowControl w:val="0"/>
        <w:spacing w:before="0" w:after="225"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ĐỐI THOẠI HỮU NGHỊ THÀNH PHỐ HỒ CHÍ MINH </w:t>
      </w:r>
    </w:p>
    <w:p w:rsidR="00F13B79" w:rsidRDefault="002173DD">
      <w:pPr>
        <w:pStyle w:val="Heading2"/>
        <w:keepNext w:val="0"/>
        <w:keepLines w:val="0"/>
        <w:widowControl w:val="0"/>
        <w:spacing w:before="0" w:after="225"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LẦN THỨ 3 NĂM 2026 (FD 2026)</w:t>
      </w:r>
    </w:p>
    <w:p w:rsidR="00F13B79" w:rsidRDefault="002173DD">
      <w:pPr>
        <w:widowControl w:val="0"/>
        <w:spacing w:after="240" w:line="240" w:lineRule="auto"/>
        <w:ind w:firstLine="720"/>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rPr>
        <w:t>Đối thoại Hữu nghị Thành phố Hồ Chí Minh lần thứ 3 năm 2026 (Ho Chi Minh City Friendship Dialogue 2026 – FD 2026) là sự kiện đối ngoại đa phương cấp địa phương có quy mô quốc tế do Ủy ban nhân dân Thành phố Hồ Chí Minh chủ trì tổ chức, diễn ra từ ngày 10 đến 12 tháng 9 năm 2026 tại phường Vũng Tàu, Thành phố Hồ Chí Minh.</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Tiếp nối thành công của hai lần Đối thoại trước vào năm 2022 và 2024, FD 2026 dự kiến quy tụ gần 500 đại biểu trong nước và quốc tế, bao gồm Lãnh đạo Chính phủ, Lãnh đạo các Bộ, ngành trung ương, Lãnh đạo Thành phố Hồ Chí Minh, Lãnh đạo các tỉnh/thành phía Nam, các đoàn địa phương, tổ chức quốc tế, các cơ quan lãnh sự, hiệp hội doanh nghiệp cùng nhiều chuyên gia kinh tế, khoa học và công nghệ trong</w:t>
      </w:r>
      <w:r w:rsidR="00F85AE2">
        <w:rPr>
          <w:rFonts w:ascii="Times New Roman" w:eastAsia="Times New Roman" w:hAnsi="Times New Roman" w:cs="Times New Roman"/>
          <w:sz w:val="26"/>
          <w:szCs w:val="26"/>
        </w:rPr>
        <w:t xml:space="preserve"> và ngoài nước. Tính đến ngày </w:t>
      </w:r>
      <w:r w:rsidR="001A123C">
        <w:rPr>
          <w:rFonts w:ascii="Times New Roman" w:eastAsia="Times New Roman" w:hAnsi="Times New Roman" w:cs="Times New Roman"/>
          <w:sz w:val="26"/>
          <w:szCs w:val="26"/>
          <w:lang w:val="en-US"/>
        </w:rPr>
        <w:t>04</w:t>
      </w:r>
      <w:r>
        <w:rPr>
          <w:rFonts w:ascii="Times New Roman" w:eastAsia="Times New Roman" w:hAnsi="Times New Roman" w:cs="Times New Roman"/>
          <w:sz w:val="26"/>
          <w:szCs w:val="26"/>
        </w:rPr>
        <w:t xml:space="preserve"> tháng </w:t>
      </w:r>
      <w:r w:rsidR="001A123C">
        <w:rPr>
          <w:rFonts w:ascii="Times New Roman" w:eastAsia="Times New Roman" w:hAnsi="Times New Roman" w:cs="Times New Roman"/>
          <w:sz w:val="26"/>
          <w:szCs w:val="26"/>
          <w:lang w:val="en-US"/>
        </w:rPr>
        <w:t>9</w:t>
      </w:r>
      <w:r>
        <w:rPr>
          <w:rFonts w:ascii="Times New Roman" w:eastAsia="Times New Roman" w:hAnsi="Times New Roman" w:cs="Times New Roman"/>
          <w:sz w:val="26"/>
          <w:szCs w:val="26"/>
        </w:rPr>
        <w:t xml:space="preserve"> năm 2026, sự kiện đã nhận được sự xác nhận tham dự từ </w:t>
      </w:r>
      <w:r w:rsidR="00F85AE2">
        <w:rPr>
          <w:rFonts w:ascii="Times New Roman" w:eastAsia="Times New Roman" w:hAnsi="Times New Roman" w:cs="Times New Roman"/>
          <w:b/>
          <w:bCs/>
          <w:sz w:val="26"/>
          <w:szCs w:val="26"/>
        </w:rPr>
        <w:t>3</w:t>
      </w:r>
      <w:r w:rsidR="001A123C">
        <w:rPr>
          <w:rFonts w:ascii="Times New Roman" w:eastAsia="Times New Roman" w:hAnsi="Times New Roman" w:cs="Times New Roman"/>
          <w:b/>
          <w:bCs/>
          <w:sz w:val="26"/>
          <w:szCs w:val="26"/>
          <w:lang w:val="en-US"/>
        </w:rPr>
        <w:t>5</w:t>
      </w:r>
      <w:bookmarkStart w:id="0" w:name="_GoBack"/>
      <w:bookmarkEnd w:id="0"/>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đoàn địa phương và đối tác quốc tế, phủ rộng khắp các châu lục gồm Châu Á, Châu Âu, Châu Mỹ và Châu Đại Dương, minh chứng cho tầm vóc quốc tế của sự kiện, khẳng định vị thế và uy tín đối ngoại của Thành phố Hồ Chí Minh trên trường quốc tế. </w:t>
      </w:r>
    </w:p>
    <w:p w:rsidR="00F13B79" w:rsidRDefault="002173DD">
      <w:pPr>
        <w:widowControl w:val="0"/>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FD 2026 được tổ chức sau khi Thành phố Hồ Chí Minh mở rộng địa giới hành chính trên cơ sở hợp nhất với hai tỉnh Bình Dương và tỉnh Bà Rịa – Vũng Tàu. Việc lựa chọn phường Vũng Tàu làm không gian tổ chức chính của sự kiện mang định hướng chiến lược sâu sắc, góp phần giới thiệu không gian phát triển mới và tầm nhìn vươn ra biển lớn của Thành phố Hồ Chí Minh với đối tác và bạn bè quốc tế. Thực tế, với quy mô không gian đô thị mới, Thành phố Hồ Chí Minh không chỉ khẳng định vị thế trung tâm kinh tế, tài chính, thương mại và dịch vụ lớn nhất cả nước mà còn hội tụ hệ sinh thái công nghiệp hiện đại, cụm cảng biển nước sâu quốc tế, logistics chuỗi cung ứng toàn cầu và trung tâm đổi mới sáng tạo quốc gia. </w:t>
      </w:r>
    </w:p>
    <w:p w:rsidR="00F13B79" w:rsidRDefault="00F13B79">
      <w:pPr>
        <w:widowControl w:val="0"/>
        <w:spacing w:line="240" w:lineRule="auto"/>
        <w:jc w:val="both"/>
        <w:rPr>
          <w:rFonts w:ascii="Times New Roman" w:eastAsia="Times New Roman" w:hAnsi="Times New Roman" w:cs="Times New Roman"/>
          <w:sz w:val="26"/>
          <w:szCs w:val="26"/>
        </w:rPr>
      </w:pPr>
    </w:p>
    <w:p w:rsidR="00F13B79" w:rsidRDefault="002173DD">
      <w:pPr>
        <w:widowControl w:val="0"/>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Bám sát tinh thần Đại hội XIV của Đảng - coi đối ngoại là nhiệm vụ trọng yếu, thường xuyên, cùng chủ trương nâng cao hiệu quả đối ngoại địa phương tại Nghị quyết 59-NQ/TW của Bộ Chính trị, FD 2026 với chủ đề “</w:t>
      </w:r>
      <w:r>
        <w:rPr>
          <w:rFonts w:ascii="Times New Roman" w:eastAsia="Times New Roman" w:hAnsi="Times New Roman" w:cs="Times New Roman"/>
          <w:i/>
          <w:iCs/>
          <w:sz w:val="26"/>
          <w:szCs w:val="26"/>
        </w:rPr>
        <w:t>Đối ngoại địa phương: Động lực cho đổi mới sáng tạo và tăng trưởng bền vững</w:t>
      </w:r>
      <w:r>
        <w:rPr>
          <w:rFonts w:ascii="Times New Roman" w:eastAsia="Times New Roman" w:hAnsi="Times New Roman" w:cs="Times New Roman"/>
          <w:sz w:val="26"/>
          <w:szCs w:val="26"/>
        </w:rPr>
        <w:t xml:space="preserve">” được kỳ vọng tạo không gian để các địa phương, chuyên gia, doanh nghiệp chia sẻ kinh nghiệm quản trị, trao đổi các mô hình phát triển tiên tiến, thúc đẩy hợp tác về khoa học - công nghệ, đổi mới sáng tạo, đầu tư, thương mại và phát triển nguồn nhân lực. </w:t>
      </w:r>
    </w:p>
    <w:p w:rsidR="00F13B79" w:rsidRDefault="002173DD">
      <w:pPr>
        <w:pStyle w:val="Heading3"/>
        <w:keepNext w:val="0"/>
        <w:keepLines w:val="0"/>
        <w:widowControl w:val="0"/>
        <w:spacing w:before="240" w:after="240"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HỘI NGHỊ THỊ TRƯỞNG VÀ CÁC PHIÊN CHUYÊN ĐỀ</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Hoạt động trọng tâm của sự kiện là Hội nghị Thị trưởng diễn ra vào sáng ngày 11/9/2026. Hội nghị quy tụ Lãnh đạo các địa phương trong nước và quốc tế nhằm thảo luận sâu về vai trò chủ động của địa phương trong tổng thể chính sách đối ngoại quốc gia, góp </w:t>
      </w:r>
      <w:r>
        <w:rPr>
          <w:rFonts w:ascii="Times New Roman" w:eastAsia="Times New Roman" w:hAnsi="Times New Roman" w:cs="Times New Roman"/>
          <w:sz w:val="26"/>
          <w:szCs w:val="26"/>
        </w:rPr>
        <w:lastRenderedPageBreak/>
        <w:t>phần định hình các chính sách hợp tác quốc tế. Tại Hội nghị, các đại biểu sẽ chia sẻ bài học kinh nghiệm thực tiễn từ việc tham gia các mạng lưới đô thị quốc tế uy tín như chain PORT, World Cities Culture Forum, C40, Metropolis, UCLG hay CityNet… Qua đó, Hội nghị làm rõ cách thức các thành phố sử dụng ngoại giao đô thị như một công cụ phát triển thiết thực để thu hút nguồn lực đầu tư, chuyển giao công nghệ tiên tiến, tiếp thu tri thức quản trị hiện đại và phát triển nguồn nhân lực chất lượng cao, phục vụ cho mục tiêu tăng trưởng nhanh và bền vững của mỗi địa phương.</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Tiếp nối nền tảng định hướng chiến lược từ Hội nghị Thị trưởng, phiên thảo luận chuyên đề thứ nhất với chủ đề Hợp tác Phát triển Đổi mới sáng tạo sẽ đi sâu vào giải pháp cho vai trò của thể chế địa phương trong việc khuyến khích doanh nghiệp đầu tư nghiên cứu, phát triển (R&amp;D) và chuyển hóa kết quả đổi mới sáng tạo thành sản phẩm thương mại, qua đó rút ngắn khoảng cách từ nghiên cứu đến thị trường và thiết lập cơ chế hợp tác cụ thể giữa các địa phương trong mạng lưới hữu nghị của Thành phố Hồ Chí Minh. </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Song song với động lực đổi mới sáng tạo, phiên thảo luận chuyên đề thứ hai về Hợp tác Phát triển Cảng biển và Logistic sẽ tập trung vào yêu cầu cấp bách hợp tác cảng biển xanh, làm rõ vai trò của chính quyền địa phương trong kết nối chuỗi cung ứng và đáp ứng các tiêu chuẩn bền vững thế hệ mới, đồng thời thảo luận khả năng thiết lập cơ chế hợp tác đa phương cấp thành phố để chia sẻ dữ liệu, nâng cao năng lực cạnh tranh và bảo đảm đồng bộ tiêu chuẩn môi trường trong chuỗi cung ứng toàn cầu.</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Hướng tới việc tạo ra kết quả hợp tác thực chất và lâu dài, FD 2026 nhấn mạnh mong muốn thúc đẩy khả năng thiết lập Cơ chế Đa phương của TPHCM. Đây là cơ chế hợp tác đa phương cấp thành phố nhằm trao đổi kinh nghiệm, chia sẻ thông tin và phối hợp giải quyết các vấn đề chung về phát triển cảng biển, nhằm thúc đẩy kết nối logistics, chia sẻ kinh nghiệm quản trị và phát triển chuỗi cung ứng bền vững, tạo động lực mới cho hợp tác đa phương cấp địa phương trong giai đoạn tiếp theo.</w:t>
      </w:r>
    </w:p>
    <w:p w:rsidR="00F13B79" w:rsidRDefault="002173DD">
      <w:pPr>
        <w:widowControl w:val="0"/>
        <w:spacing w:after="24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NGOẠI GIAO CÔNG CHÚNG VÀ CHƯƠNG TRÌNH THAM QUAN</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Chương trình Ngoại giao công chúng tối ngày 10/9/2026 tại Tháp Tam Thắng hứa hẹn mang đến cho các đại biểu quốc tế một không gian kết nối đầy cảm xúc. Sau khi trải nghiệm xe buýt hai tầng dọc cung đường biển Thùy Vân để cảm nhận vẻ đẹp biển về đêm, các đại biểu sẽ thưởng thức màn trình diễn nghệ thuật chiếu sáng kết hợp nhạc nước lung linh ngay tại không gian kiến trúc độc đáo của Tháp Tam Thắng trong không gian hòa quyện giữa ánh sáng, âm nhạc và nhịp sóng biển. Hình ảnh các em nhỏ cùng đại biểu cất cao thông điệp hòa bình không chỉ tôn vinh nét đẹp hiếu khách của Thành phố Hồ Chí Minh mà còn lan tỏa mạnh mẽ tinh thần đoàn kết, vun đắp tình hữu nghị bền chặt giữa Việt Nam và bạn bè quốc tế.</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Bên cạnh đó, các đại biểu sẽ tham gia chương trình tham quan địa phương tại Cảng Quốc tế Tân Cảng – Cái Mép (TCIT) để tìm hiểu mô hình khai thác cảng nước sâu, phát triển logistics và kết nối chuỗi cung ứng toàn cầu hoặc không gian văn hóa, lịch sử tiêu biểu </w:t>
      </w:r>
      <w:r>
        <w:rPr>
          <w:rFonts w:ascii="Times New Roman" w:eastAsia="Times New Roman" w:hAnsi="Times New Roman" w:cs="Times New Roman"/>
          <w:sz w:val="26"/>
          <w:szCs w:val="26"/>
        </w:rPr>
        <w:lastRenderedPageBreak/>
        <w:t>tại Vũng Tàu (Bạch Dinh, Bảo tàng Bà Rịa – Vũng Tàu), giới thiệu nét đẹp di sản và tiềm năng du lịch của Thành phố trong không gian phát triển mới.</w:t>
      </w:r>
    </w:p>
    <w:p w:rsidR="00F13B79" w:rsidRDefault="002173DD">
      <w:pPr>
        <w:widowControl w:val="0"/>
        <w:spacing w:after="24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NÂNG CẤP BIỂU TƯỢNG HỮU NGHỊ QUỐC TẾ TPHCM</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Nhân dịp này, Sở Ngoại vụ đã phối hợp các Sở ngành, đơn vị liên quan hoàn thiện nâng cấp Biểu tượng Hữu nghị Quốc tế Thành phố Hồ Chí Minh tại Công viên Bến Bạch Đằng. Được khởi nguồn từ sáng kiến tại FD 2022, công bố thiết kế tại FD 2024 và khánh thành vào ngày 29/4/2025, công trình mang hình khối vòng tròn Mobius bằng đồng, tượng trưng cho sự gắn kết bền chặt, hòa bình và phát triển vô tận giữa thành phố và bạn bè quốc tế đã trở thành một dấu ấn văn hóa – đối ngoại tiêu biểu, minh chứng cho chặng đường chủ động hội nhập và mở rộng quan hệ quốc tế của Thành phố. </w:t>
      </w:r>
    </w:p>
    <w:p w:rsidR="00F13B79" w:rsidRDefault="002173DD">
      <w:pPr>
        <w:widowControl w:val="0"/>
        <w:spacing w:after="24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Khởi nguồn với 58 bảng tên địa phương quốc tế kết nghĩa, ghi dấu hành trình hợp tác quốc tế của Thành phố giai đoạn 1994 – 2024, công trình nay được hoàn thiện quy mô nhằm phản ánh trọn vẹn tầm vóc mới của Thành phố sau hợp nhất, nâng tổng số địa phương kết nghĩa quốc tế từ 58 lên 88 địa phương. </w:t>
      </w:r>
    </w:p>
    <w:p w:rsidR="00F13B79" w:rsidRDefault="002173DD">
      <w:pPr>
        <w:pStyle w:val="Heading3"/>
        <w:keepNext w:val="0"/>
        <w:keepLines w:val="0"/>
        <w:widowControl w:val="0"/>
        <w:spacing w:before="240" w:after="240" w:line="240" w:lineRule="auto"/>
        <w:jc w:val="both"/>
        <w:rPr>
          <w:rFonts w:ascii="Times New Roman" w:eastAsia="Times New Roman" w:hAnsi="Times New Roman" w:cs="Times New Roman"/>
          <w:b/>
          <w:bCs/>
          <w:color w:val="000000"/>
          <w:sz w:val="26"/>
          <w:szCs w:val="26"/>
          <w:u w:val="single"/>
        </w:rPr>
      </w:pPr>
      <w:r>
        <w:rPr>
          <w:rFonts w:ascii="Times New Roman" w:eastAsia="Times New Roman" w:hAnsi="Times New Roman" w:cs="Times New Roman"/>
          <w:b/>
          <w:bCs/>
          <w:color w:val="000000"/>
          <w:sz w:val="26"/>
          <w:szCs w:val="26"/>
          <w:u w:val="single"/>
        </w:rPr>
        <w:t>THÔNG TIN LIÊN HỆ:</w:t>
      </w:r>
    </w:p>
    <w:p w:rsidR="00F13B79" w:rsidRDefault="002173DD">
      <w:pPr>
        <w:widowControl w:val="0"/>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Đối thoại Hữu nghị Thành phố Hồ Chí Minh lần thứ 3 năm 2026</w:t>
      </w:r>
    </w:p>
    <w:p w:rsidR="00F13B79" w:rsidRDefault="002173DD">
      <w:pPr>
        <w:widowControl w:val="0"/>
        <w:spacing w:line="240" w:lineRule="auto"/>
        <w:jc w:val="both"/>
        <w:rPr>
          <w:rFonts w:ascii="Times New Roman" w:eastAsia="Times New Roman" w:hAnsi="Times New Roman" w:cs="Times New Roman"/>
          <w:color w:val="0000EE"/>
          <w:sz w:val="26"/>
          <w:szCs w:val="26"/>
          <w:u w:val="single"/>
        </w:rPr>
      </w:pPr>
      <w:r>
        <w:rPr>
          <w:rFonts w:ascii="Times New Roman" w:eastAsia="Times New Roman" w:hAnsi="Times New Roman" w:cs="Times New Roman"/>
          <w:b/>
          <w:bCs/>
          <w:sz w:val="26"/>
          <w:szCs w:val="26"/>
        </w:rPr>
        <w:t>Website:</w:t>
      </w:r>
      <w:r>
        <w:rPr>
          <w:rFonts w:ascii="Times New Roman" w:eastAsia="Times New Roman" w:hAnsi="Times New Roman" w:cs="Times New Roman"/>
          <w:sz w:val="26"/>
          <w:szCs w:val="26"/>
        </w:rPr>
        <w:t xml:space="preserve"> </w:t>
      </w:r>
      <w:hyperlink r:id="rId4">
        <w:r>
          <w:rPr>
            <w:rFonts w:ascii="Times New Roman" w:eastAsia="Times New Roman" w:hAnsi="Times New Roman" w:cs="Times New Roman"/>
            <w:color w:val="0000EE"/>
            <w:sz w:val="26"/>
            <w:szCs w:val="26"/>
            <w:u w:val="single"/>
          </w:rPr>
          <w:t>https://fd-hcmc.vn</w:t>
        </w:r>
      </w:hyperlink>
    </w:p>
    <w:p w:rsidR="00F13B79" w:rsidRDefault="002173DD">
      <w:pPr>
        <w:widowControl w:val="0"/>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Fanpage:</w:t>
      </w:r>
      <w:r>
        <w:rPr>
          <w:rFonts w:ascii="Times New Roman" w:eastAsia="Times New Roman" w:hAnsi="Times New Roman" w:cs="Times New Roman"/>
          <w:sz w:val="26"/>
          <w:szCs w:val="26"/>
        </w:rPr>
        <w:t xml:space="preserve"> </w:t>
      </w:r>
      <w:hyperlink r:id="rId5">
        <w:r>
          <w:rPr>
            <w:rFonts w:ascii="Times New Roman" w:eastAsia="Times New Roman" w:hAnsi="Times New Roman" w:cs="Times New Roman"/>
            <w:color w:val="0000EE"/>
            <w:sz w:val="26"/>
            <w:szCs w:val="26"/>
            <w:u w:val="single"/>
          </w:rPr>
          <w:t>https://www.facebook.com/doithoaihuunghitphcm</w:t>
        </w:r>
      </w:hyperlink>
    </w:p>
    <w:p w:rsidR="00F13B79" w:rsidRDefault="002173DD">
      <w:pPr>
        <w:widowControl w:val="0"/>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Liên hệ:</w:t>
      </w:r>
      <w:r>
        <w:rPr>
          <w:rFonts w:ascii="Times New Roman" w:eastAsia="Times New Roman" w:hAnsi="Times New Roman" w:cs="Times New Roman"/>
          <w:sz w:val="26"/>
          <w:szCs w:val="26"/>
        </w:rPr>
        <w:t xml:space="preserve"> Cô Nguyên Thảo (090.280.7174) - Phụ trách truyền thông FD 2026</w:t>
      </w:r>
    </w:p>
    <w:p w:rsidR="00F13B79" w:rsidRDefault="00F13B79">
      <w:pPr>
        <w:widowControl w:val="0"/>
        <w:spacing w:line="240" w:lineRule="auto"/>
        <w:jc w:val="both"/>
        <w:rPr>
          <w:rFonts w:ascii="Times New Roman" w:eastAsia="Times New Roman" w:hAnsi="Times New Roman" w:cs="Times New Roman"/>
          <w:sz w:val="26"/>
          <w:szCs w:val="26"/>
        </w:rPr>
      </w:pPr>
    </w:p>
    <w:p w:rsidR="00F13B79" w:rsidRDefault="002173DD">
      <w:pPr>
        <w:widowControl w:val="0"/>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Vui lòng quét mã QR để nhận thông tin về sự kiện:</w:t>
      </w:r>
      <w:r>
        <w:rPr>
          <w:noProof/>
          <w:lang w:val="en-US"/>
        </w:rPr>
        <mc:AlternateContent>
          <mc:Choice Requires="wps">
            <w:drawing>
              <wp:anchor distT="114300" distB="114300" distL="114300" distR="114300" simplePos="0" relativeHeight="251658240" behindDoc="0" locked="0" layoutInCell="1" hidden="0" allowOverlap="1">
                <wp:simplePos x="0" y="0"/>
                <wp:positionH relativeFrom="column">
                  <wp:posOffset>2404110</wp:posOffset>
                </wp:positionH>
                <wp:positionV relativeFrom="paragraph">
                  <wp:posOffset>272415</wp:posOffset>
                </wp:positionV>
                <wp:extent cx="988256" cy="988256"/>
                <wp:effectExtent l="0" t="0" r="0" b="0"/>
                <wp:wrapNone/>
                <wp:docPr id="1" name=""/>
                <wp:cNvGraphicFramePr/>
                <a:graphic xmlns:a="http://schemas.openxmlformats.org/drawingml/2006/main">
                  <a:graphicData uri="http://schemas.microsoft.com/office/word/2010/wordprocessingShape">
                    <wps:wsp>
                      <wps:cNvSpPr/>
                      <wps:spPr>
                        <a:xfrm>
                          <a:off x="2022950" y="1136900"/>
                          <a:ext cx="1047300" cy="1047300"/>
                        </a:xfrm>
                        <a:prstGeom prst="rect">
                          <a:avLst/>
                        </a:prstGeom>
                        <a:solidFill>
                          <a:srgbClr val="CFE2F3"/>
                        </a:solidFill>
                        <a:ln w="9525" cap="flat" cmpd="sng">
                          <a:solidFill>
                            <a:srgbClr val="000000"/>
                          </a:solidFill>
                          <a:prstDash val="solid"/>
                          <a:round/>
                          <a:headEnd type="none" w="sm" len="sm"/>
                          <a:tailEnd type="none" w="sm" len="sm"/>
                        </a:ln>
                      </wps:spPr>
                      <wps:txbx>
                        <w:txbxContent>
                          <w:p w:rsidR="00F13B79" w:rsidRDefault="00F13B79">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id="_x0000_s1026" style="position:absolute;left:0;text-align:left;margin-left:189.3pt;margin-top:21.45pt;width:77.8pt;height:77.8pt;z-index:25165824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" fillcolor="#cfe2f3">
                <v:stroke startarrowwidth="narrow" startarrowlength="short" endarrowwidth="narrow" endarrowlength="short" joinstyle="round"/>
                <v:textbox inset="2.53958mm,2.53958mm,2.53958mm,2.53958mm">
                  <w:txbxContent>
                    <w:p w:rsidR="00F13B79" w:rsidRDefault="00F13B79">
                      <w:pPr>
                        <w:spacing w:line="240" w:lineRule="auto"/>
                        <w:jc w:val="center"/>
                        <w:textDirection w:val="btLr"/>
                      </w:pPr>
                    </w:p>
                  </w:txbxContent>
                </v:textbox>
              </v:rect>
            </w:pict>
          </mc:Fallback>
        </mc:AlternateContent>
      </w:r>
    </w:p>
    <w:p w:rsidR="00F13B79" w:rsidRDefault="00F13B79">
      <w:pPr>
        <w:widowControl w:val="0"/>
        <w:spacing w:line="240" w:lineRule="auto"/>
        <w:jc w:val="center"/>
        <w:rPr>
          <w:rFonts w:ascii="Times New Roman" w:eastAsia="Times New Roman" w:hAnsi="Times New Roman" w:cs="Times New Roman"/>
          <w:sz w:val="26"/>
          <w:szCs w:val="26"/>
        </w:rPr>
      </w:pPr>
    </w:p>
    <w:p w:rsidR="00F13B79" w:rsidRDefault="00F13B79">
      <w:pPr>
        <w:widowControl w:val="0"/>
        <w:spacing w:line="240" w:lineRule="auto"/>
        <w:jc w:val="both"/>
        <w:rPr>
          <w:rFonts w:ascii="Times New Roman" w:eastAsia="Times New Roman" w:hAnsi="Times New Roman" w:cs="Times New Roman"/>
          <w:b/>
          <w:bCs/>
          <w:sz w:val="26"/>
          <w:szCs w:val="26"/>
        </w:rPr>
      </w:pPr>
    </w:p>
    <w:p w:rsidR="00F13B79" w:rsidRDefault="00F13B79">
      <w:pPr>
        <w:widowControl w:val="0"/>
        <w:spacing w:line="240" w:lineRule="auto"/>
        <w:jc w:val="both"/>
        <w:rPr>
          <w:rFonts w:ascii="Times New Roman" w:eastAsia="Times New Roman" w:hAnsi="Times New Roman" w:cs="Times New Roman"/>
          <w:b/>
          <w:bCs/>
          <w:sz w:val="26"/>
          <w:szCs w:val="26"/>
        </w:rPr>
      </w:pPr>
    </w:p>
    <w:p w:rsidR="00F13B79" w:rsidRDefault="00F13B79">
      <w:pPr>
        <w:widowControl w:val="0"/>
        <w:spacing w:line="240" w:lineRule="auto"/>
        <w:jc w:val="both"/>
        <w:rPr>
          <w:rFonts w:ascii="Times New Roman" w:eastAsia="Times New Roman" w:hAnsi="Times New Roman" w:cs="Times New Roman"/>
          <w:b/>
          <w:bCs/>
          <w:sz w:val="26"/>
          <w:szCs w:val="26"/>
        </w:rPr>
      </w:pPr>
    </w:p>
    <w:p w:rsidR="00F13B79" w:rsidRDefault="00F13B79">
      <w:pPr>
        <w:widowControl w:val="0"/>
        <w:spacing w:line="240" w:lineRule="auto"/>
        <w:jc w:val="both"/>
        <w:rPr>
          <w:rFonts w:ascii="Times New Roman" w:eastAsia="Times New Roman" w:hAnsi="Times New Roman" w:cs="Times New Roman"/>
          <w:b/>
          <w:bCs/>
          <w:sz w:val="26"/>
          <w:szCs w:val="26"/>
        </w:rPr>
      </w:pPr>
    </w:p>
    <w:p w:rsidR="00F13B79" w:rsidRDefault="00F13B79">
      <w:pPr>
        <w:widowControl w:val="0"/>
        <w:spacing w:line="240" w:lineRule="auto"/>
        <w:jc w:val="both"/>
        <w:rPr>
          <w:rFonts w:ascii="Times New Roman" w:eastAsia="Times New Roman" w:hAnsi="Times New Roman" w:cs="Times New Roman"/>
          <w:sz w:val="26"/>
          <w:szCs w:val="26"/>
        </w:rPr>
      </w:pPr>
    </w:p>
    <w:p w:rsidR="00F13B79" w:rsidRDefault="002173DD">
      <w:pPr>
        <w:widowControl w:val="0"/>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rsidR="00F13B79" w:rsidRDefault="00F13B79">
      <w:pPr>
        <w:widowControl w:val="0"/>
        <w:spacing w:line="240" w:lineRule="auto"/>
        <w:jc w:val="both"/>
        <w:rPr>
          <w:rFonts w:ascii="Times New Roman" w:eastAsia="Times New Roman" w:hAnsi="Times New Roman" w:cs="Times New Roman"/>
          <w:sz w:val="26"/>
          <w:szCs w:val="26"/>
        </w:rPr>
      </w:pPr>
    </w:p>
    <w:p w:rsidR="00F13B79" w:rsidRDefault="002173DD">
      <w:pPr>
        <w:widowControl w:val="0"/>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Ban Tổ chức trân trọng cảm ơn sự đồng hành của các </w:t>
      </w:r>
      <w:r w:rsidR="00F85AE2">
        <w:rPr>
          <w:rFonts w:ascii="Times New Roman" w:eastAsia="Times New Roman" w:hAnsi="Times New Roman" w:cs="Times New Roman"/>
          <w:b/>
          <w:bCs/>
          <w:sz w:val="26"/>
          <w:szCs w:val="26"/>
          <w:lang w:val="vi-VN"/>
        </w:rPr>
        <w:t>đ</w:t>
      </w:r>
      <w:r>
        <w:rPr>
          <w:rFonts w:ascii="Times New Roman" w:eastAsia="Times New Roman" w:hAnsi="Times New Roman" w:cs="Times New Roman"/>
          <w:b/>
          <w:bCs/>
          <w:sz w:val="26"/>
          <w:szCs w:val="26"/>
        </w:rPr>
        <w:t>ơn vị</w:t>
      </w:r>
      <w:r w:rsidR="00F85AE2">
        <w:rPr>
          <w:rFonts w:ascii="Times New Roman" w:eastAsia="Times New Roman" w:hAnsi="Times New Roman" w:cs="Times New Roman"/>
          <w:b/>
          <w:bCs/>
          <w:sz w:val="26"/>
          <w:szCs w:val="26"/>
        </w:rPr>
        <w:t>:</w:t>
      </w:r>
    </w:p>
    <w:p w:rsidR="00F13B79" w:rsidRDefault="00F13B79">
      <w:pPr>
        <w:widowControl w:val="0"/>
        <w:spacing w:line="240" w:lineRule="auto"/>
        <w:jc w:val="both"/>
        <w:rPr>
          <w:rFonts w:ascii="Times New Roman" w:eastAsia="Times New Roman" w:hAnsi="Times New Roman" w:cs="Times New Roman"/>
          <w:b/>
          <w:bCs/>
          <w:sz w:val="26"/>
          <w:szCs w:val="26"/>
        </w:rPr>
      </w:pPr>
    </w:p>
    <w:p w:rsidR="00F13B79" w:rsidRDefault="00F13B79">
      <w:pPr>
        <w:widowControl w:val="0"/>
        <w:spacing w:line="240" w:lineRule="auto"/>
        <w:jc w:val="both"/>
        <w:rPr>
          <w:rFonts w:ascii="Times New Roman" w:eastAsia="Times New Roman" w:hAnsi="Times New Roman" w:cs="Times New Roman"/>
          <w:b/>
          <w:bCs/>
          <w:sz w:val="26"/>
          <w:szCs w:val="26"/>
        </w:rPr>
      </w:pPr>
    </w:p>
    <w:p w:rsidR="00F13B79" w:rsidRDefault="002173DD">
      <w:pPr>
        <w:widowControl w:val="0"/>
        <w:spacing w:line="240" w:lineRule="auto"/>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lang w:val="en-US"/>
        </w:rPr>
        <w:drawing>
          <wp:inline distT="114300" distB="114300" distL="114300" distR="114300">
            <wp:extent cx="1717531" cy="50584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717531" cy="505848"/>
                    </a:xfrm>
                    <a:prstGeom prst="rect">
                      <a:avLst/>
                    </a:prstGeom>
                    <a:ln/>
                  </pic:spPr>
                </pic:pic>
              </a:graphicData>
            </a:graphic>
          </wp:inline>
        </w:drawing>
      </w:r>
      <w:r>
        <w:rPr>
          <w:rFonts w:ascii="Times New Roman" w:eastAsia="Times New Roman" w:hAnsi="Times New Roman" w:cs="Times New Roman"/>
          <w:noProof/>
          <w:sz w:val="26"/>
          <w:szCs w:val="26"/>
          <w:lang w:val="en-US"/>
        </w:rPr>
        <w:drawing>
          <wp:inline distT="114300" distB="114300" distL="114300" distR="114300">
            <wp:extent cx="2205854" cy="705873"/>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205854" cy="705873"/>
                    </a:xfrm>
                    <a:prstGeom prst="rect">
                      <a:avLst/>
                    </a:prstGeom>
                    <a:ln/>
                  </pic:spPr>
                </pic:pic>
              </a:graphicData>
            </a:graphic>
          </wp:inline>
        </w:drawing>
      </w:r>
      <w:r>
        <w:rPr>
          <w:rFonts w:ascii="Times New Roman" w:eastAsia="Times New Roman" w:hAnsi="Times New Roman" w:cs="Times New Roman"/>
          <w:noProof/>
          <w:sz w:val="26"/>
          <w:szCs w:val="26"/>
          <w:lang w:val="en-US"/>
        </w:rPr>
        <w:drawing>
          <wp:inline distT="114300" distB="114300" distL="114300" distR="114300">
            <wp:extent cx="1541676" cy="591573"/>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541676" cy="591573"/>
                    </a:xfrm>
                    <a:prstGeom prst="rect">
                      <a:avLst/>
                    </a:prstGeom>
                    <a:ln/>
                  </pic:spPr>
                </pic:pic>
              </a:graphicData>
            </a:graphic>
          </wp:inline>
        </w:drawing>
      </w:r>
    </w:p>
    <w:sectPr w:rsidR="00F13B79" w:rsidSect="002173DD">
      <w:pgSz w:w="12240" w:h="15840" w:code="1"/>
      <w:pgMar w:top="1440" w:right="1325"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4B44F58-CA05-4CCA-ACEA-0EADC306AF8B}"/>
  </w:font>
  <w:font w:name="Cambria">
    <w:panose1 w:val="02040503050406030204"/>
    <w:charset w:val="00"/>
    <w:family w:val="roman"/>
    <w:pitch w:val="variable"/>
    <w:sig w:usb0="E00006FF" w:usb1="420024FF" w:usb2="02000000" w:usb3="00000000" w:csb0="0000019F" w:csb1="00000000"/>
    <w:embedRegular r:id="rId2" w:fontKey="{25E26C76-4901-4B92-80EB-42CF7470DE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B79"/>
    <w:rsid w:val="001A123C"/>
    <w:rsid w:val="002173DD"/>
    <w:rsid w:val="00C902B4"/>
    <w:rsid w:val="00F13B79"/>
    <w:rsid w:val="00F85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F4239"/>
  <w15:docId w15:val="{122BF7AF-EE0E-4E3A-B468-697B1F0D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facebook.com/doithoaihuunghitphcm" TargetMode="External"/><Relationship Id="rId10" Type="http://schemas.openxmlformats.org/officeDocument/2006/relationships/theme" Target="theme/theme1.xml"/><Relationship Id="rId4" Type="http://schemas.openxmlformats.org/officeDocument/2006/relationships/hyperlink" Target="https://hcmc-fd.gov.vn"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2026-08-27T01:25:00Z</dcterms:created>
  <dcterms:modified xsi:type="dcterms:W3CDTF">2026-09-06T05:47:00Z</dcterms:modified>
</cp:coreProperties>
</file>